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492AE4" w:rsidRDefault="00FA0606" w:rsidP="00492AE4">
      <w:pPr>
        <w:jc w:val="center"/>
        <w:rPr>
          <w:rFonts w:ascii="Times New Roman" w:hAnsi="Times New Roman" w:cs="Times New Roman"/>
          <w:sz w:val="24"/>
          <w:szCs w:val="24"/>
        </w:rPr>
      </w:pPr>
    </w:p>
    <w:p w:rsidR="00FA0606" w:rsidRPr="00492AE4" w:rsidRDefault="00FA0606" w:rsidP="00492AE4">
      <w:pPr>
        <w:jc w:val="center"/>
        <w:rPr>
          <w:rFonts w:ascii="Times New Roman" w:hAnsi="Times New Roman" w:cs="Times New Roman"/>
          <w:sz w:val="24"/>
          <w:szCs w:val="24"/>
        </w:rPr>
      </w:pPr>
    </w:p>
    <w:p w:rsidR="00FA0606" w:rsidRPr="00492AE4" w:rsidRDefault="006465C7" w:rsidP="00492AE4">
      <w:pPr>
        <w:tabs>
          <w:tab w:val="left" w:pos="2805"/>
        </w:tabs>
        <w:rPr>
          <w:rFonts w:ascii="Times New Roman" w:hAnsi="Times New Roman" w:cs="Times New Roman"/>
          <w:sz w:val="24"/>
          <w:szCs w:val="24"/>
        </w:rPr>
      </w:pPr>
      <w:r w:rsidRPr="00492AE4">
        <w:rPr>
          <w:rFonts w:ascii="Times New Roman" w:hAnsi="Times New Roman" w:cs="Times New Roman"/>
          <w:sz w:val="24"/>
          <w:szCs w:val="24"/>
        </w:rPr>
        <w:tab/>
      </w:r>
    </w:p>
    <w:p w:rsidR="00E72495" w:rsidRPr="00492AE4" w:rsidRDefault="00E72495" w:rsidP="00492AE4">
      <w:pPr>
        <w:rPr>
          <w:rFonts w:ascii="Times New Roman" w:hAnsi="Times New Roman" w:cs="Times New Roman"/>
          <w:sz w:val="24"/>
          <w:szCs w:val="24"/>
        </w:rPr>
      </w:pPr>
    </w:p>
    <w:p w:rsidR="00E72495" w:rsidRPr="00492AE4" w:rsidRDefault="00E72495" w:rsidP="00492AE4">
      <w:pPr>
        <w:rPr>
          <w:rFonts w:ascii="Times New Roman" w:hAnsi="Times New Roman" w:cs="Times New Roman"/>
          <w:sz w:val="24"/>
          <w:szCs w:val="24"/>
        </w:rPr>
      </w:pPr>
    </w:p>
    <w:p w:rsidR="00FA0606" w:rsidRPr="00492AE4" w:rsidRDefault="00FA0606" w:rsidP="00492AE4">
      <w:pPr>
        <w:rPr>
          <w:rFonts w:ascii="Times New Roman" w:hAnsi="Times New Roman" w:cs="Times New Roman"/>
          <w:sz w:val="24"/>
          <w:szCs w:val="24"/>
        </w:rPr>
      </w:pPr>
    </w:p>
    <w:p w:rsidR="00FA0606" w:rsidRPr="00492AE4" w:rsidRDefault="00FA0606" w:rsidP="00492AE4">
      <w:pPr>
        <w:jc w:val="center"/>
        <w:rPr>
          <w:rFonts w:ascii="Times New Roman" w:hAnsi="Times New Roman" w:cs="Times New Roman"/>
          <w:sz w:val="24"/>
          <w:szCs w:val="24"/>
        </w:rPr>
      </w:pPr>
    </w:p>
    <w:p w:rsidR="00AE1E40" w:rsidRPr="00492AE4" w:rsidRDefault="00AE1E40" w:rsidP="00492AE4">
      <w:pPr>
        <w:jc w:val="center"/>
        <w:rPr>
          <w:rFonts w:ascii="Times New Roman" w:hAnsi="Times New Roman" w:cs="Times New Roman"/>
          <w:color w:val="000000"/>
          <w:sz w:val="24"/>
          <w:szCs w:val="24"/>
        </w:rPr>
      </w:pPr>
      <w:r w:rsidRPr="00492AE4">
        <w:rPr>
          <w:rFonts w:ascii="Times New Roman" w:hAnsi="Times New Roman" w:cs="Times New Roman"/>
          <w:color w:val="000000"/>
          <w:sz w:val="24"/>
          <w:szCs w:val="24"/>
        </w:rPr>
        <w:t xml:space="preserve">Bertrand </w:t>
      </w:r>
    </w:p>
    <w:p w:rsidR="00FA0606" w:rsidRPr="00492AE4" w:rsidRDefault="00FA0606" w:rsidP="00492AE4">
      <w:pPr>
        <w:jc w:val="center"/>
        <w:rPr>
          <w:rFonts w:ascii="Times New Roman" w:hAnsi="Times New Roman" w:cs="Times New Roman"/>
          <w:sz w:val="24"/>
          <w:szCs w:val="24"/>
        </w:rPr>
      </w:pPr>
      <w:r w:rsidRPr="00492AE4">
        <w:rPr>
          <w:rFonts w:ascii="Times New Roman" w:hAnsi="Times New Roman" w:cs="Times New Roman"/>
          <w:sz w:val="24"/>
          <w:szCs w:val="24"/>
        </w:rPr>
        <w:t>Author’s Name</w:t>
      </w:r>
    </w:p>
    <w:p w:rsidR="00FA0606" w:rsidRPr="00492AE4" w:rsidRDefault="00FA0606" w:rsidP="00492AE4">
      <w:pPr>
        <w:jc w:val="center"/>
        <w:rPr>
          <w:rFonts w:ascii="Times New Roman" w:hAnsi="Times New Roman" w:cs="Times New Roman"/>
          <w:sz w:val="24"/>
          <w:szCs w:val="24"/>
        </w:rPr>
      </w:pPr>
      <w:r w:rsidRPr="00492AE4">
        <w:rPr>
          <w:rFonts w:ascii="Times New Roman" w:hAnsi="Times New Roman" w:cs="Times New Roman"/>
          <w:sz w:val="24"/>
          <w:szCs w:val="24"/>
        </w:rPr>
        <w:t>Institutional Affiliation</w:t>
      </w:r>
    </w:p>
    <w:p w:rsidR="00EF30B2" w:rsidRPr="00492AE4" w:rsidRDefault="00EF30B2" w:rsidP="00492AE4">
      <w:pPr>
        <w:rPr>
          <w:rFonts w:ascii="Times New Roman" w:hAnsi="Times New Roman" w:cs="Times New Roman"/>
          <w:sz w:val="24"/>
          <w:szCs w:val="24"/>
        </w:rPr>
      </w:pPr>
    </w:p>
    <w:p w:rsidR="004778A2" w:rsidRPr="00492AE4" w:rsidRDefault="004778A2" w:rsidP="00492AE4">
      <w:pPr>
        <w:rPr>
          <w:rFonts w:ascii="Times New Roman" w:hAnsi="Times New Roman" w:cs="Times New Roman"/>
          <w:sz w:val="24"/>
          <w:szCs w:val="24"/>
        </w:rPr>
      </w:pPr>
    </w:p>
    <w:p w:rsidR="004778A2" w:rsidRPr="00492AE4" w:rsidRDefault="004778A2" w:rsidP="00492AE4">
      <w:pPr>
        <w:rPr>
          <w:rFonts w:ascii="Times New Roman" w:hAnsi="Times New Roman" w:cs="Times New Roman"/>
          <w:sz w:val="24"/>
          <w:szCs w:val="24"/>
        </w:rPr>
      </w:pPr>
    </w:p>
    <w:p w:rsidR="004778A2" w:rsidRPr="00492AE4" w:rsidRDefault="004778A2" w:rsidP="00492AE4">
      <w:pPr>
        <w:rPr>
          <w:rFonts w:ascii="Times New Roman" w:hAnsi="Times New Roman" w:cs="Times New Roman"/>
          <w:sz w:val="24"/>
          <w:szCs w:val="24"/>
        </w:rPr>
      </w:pPr>
    </w:p>
    <w:p w:rsidR="004778A2" w:rsidRPr="00492AE4" w:rsidRDefault="004778A2" w:rsidP="00492AE4">
      <w:pPr>
        <w:rPr>
          <w:rFonts w:ascii="Times New Roman" w:hAnsi="Times New Roman" w:cs="Times New Roman"/>
          <w:sz w:val="24"/>
          <w:szCs w:val="24"/>
        </w:rPr>
      </w:pPr>
    </w:p>
    <w:p w:rsidR="004778A2" w:rsidRPr="00492AE4" w:rsidRDefault="004778A2" w:rsidP="00492AE4">
      <w:pPr>
        <w:rPr>
          <w:rFonts w:ascii="Times New Roman" w:hAnsi="Times New Roman" w:cs="Times New Roman"/>
          <w:sz w:val="24"/>
          <w:szCs w:val="24"/>
        </w:rPr>
      </w:pPr>
    </w:p>
    <w:p w:rsidR="00AE1E40" w:rsidRPr="00492AE4" w:rsidRDefault="00AE1E40" w:rsidP="0005339D">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lastRenderedPageBreak/>
        <w:t>Between these kinds of places that are captured by the Bertrand model. It can be argued that oligopolistic rivalry requires investments in industry technologies (or capabilities) accompanied by pricing decisions. The essential characteristics of the Bertrand framework will be linked with the investment decisions, Whereas the Bertrand framework captures this evaluation decisions.3 that results in the Bertrand case thus justify important subsidization of research and growth or additional finance actions aimed at reducing value or expanding capacity in export industries.</w:t>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 xml:space="preserve">The Bertrand framework of oligopolies concentrates on value. This framework illustrates the interactions between the business (one who determines the price) and the consumer (one who prefers the amount to pay at the value made by the firm). The working of this framework is from the assumption that commodities are undifferentiated, no collusion and costs are made simultaneously. Given the reason consumers, they get from the business </w:t>
      </w:r>
      <w:r w:rsidR="00036DCC" w:rsidRPr="00492AE4">
        <w:rPr>
          <w:color w:val="000000"/>
        </w:rPr>
        <w:t>that</w:t>
      </w:r>
      <w:r w:rsidRPr="00492AE4">
        <w:rPr>
          <w:color w:val="000000"/>
        </w:rPr>
        <w:t xml:space="preserve"> provides the lowest prices and if all these firms make the same value, they select the firms to purchase from at random. However, relaxing the premise of power restrictions results in a place where balance is not reached.</w:t>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When firms change costs and can rapidly scale production to create arbitrary amounts, the lowest-price business gets the entire industry. That is named Bertrand competition. Bertrand's rivalry is robust. Each business is attempting to pay one cent not as much as all that other firms are loading, and that results in firms bidding the price down to marginal value (and bad profits). That happens whether there are two firms or more firms.</w:t>
      </w:r>
    </w:p>
    <w:p w:rsidR="00036DCC" w:rsidRDefault="00AE1E40" w:rsidP="00492AE4">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492AE4">
        <w:t xml:space="preserve">The measured level of production differs a lot to that of value setting led equilibrium measures by Bertrand. Bertrand reasoned that duopolists independently and simultaneously put costs, P1 and P2. As there are similar products, consumers can usually prefer the business setting </w:t>
      </w:r>
      <w:r w:rsidRPr="00492AE4">
        <w:lastRenderedPageBreak/>
        <w:t>at the lowest price. So with this specific Bertrand equilibrium/Bertrand-Nash structure. Even though there are just two firms, structure affects this perfectly competitive business production and price, which differs significantly from those two old models we have thought and is termed the 'Bertrand Paradox.' The Bertrand reaction may be interpreted as the state of rest for the changing operation in the multi-period framework in which each business expects the other company to pay the same price as in the previous period. P1 = P2 = 0 would be the state of part because neither company could increase its value (since it would have to lose all its customers). If company one was charging a higher price than market 2, activity one could have to get all the customers if it lowered its cost to only below the value of firm2 (P1 &amp;gt; P2 &amp;gt ; 0). If both firms were charging the same price but that was higher than zero, each business could have to gain by reducing its cost slightly below its competitor</w:t>
      </w:r>
      <w:r w:rsidR="009E5EFF" w:rsidRPr="00492AE4">
        <w:t xml:space="preserve"> (</w:t>
      </w:r>
      <w:r w:rsidR="009E5EFF" w:rsidRPr="00492AE4">
        <w:rPr>
          <w:color w:val="222222"/>
          <w:shd w:val="clear" w:color="auto" w:fill="FFFFFF"/>
        </w:rPr>
        <w:t>Sidak, 2018)</w:t>
      </w:r>
      <w:r w:rsidR="002D566E">
        <w:rPr>
          <w:color w:val="222222"/>
          <w:shd w:val="clear" w:color="auto" w:fill="FFFFFF"/>
        </w:rPr>
        <w:t>. This is as featured in the graphs below:</w:t>
      </w:r>
    </w:p>
    <w:p w:rsidR="002D566E" w:rsidRDefault="002D566E" w:rsidP="00492AE4">
      <w:pPr>
        <w:pStyle w:val="NormalWeb"/>
        <w:shd w:val="clear" w:color="auto" w:fill="FFFFFF"/>
        <w:spacing w:before="0" w:beforeAutospacing="0" w:after="0" w:afterAutospacing="0" w:line="480" w:lineRule="auto"/>
        <w:ind w:firstLine="720"/>
        <w:textAlignment w:val="baseline"/>
        <w:rPr>
          <w:color w:val="222222"/>
          <w:shd w:val="clear" w:color="auto" w:fill="FFFFFF"/>
        </w:rPr>
      </w:pPr>
      <w:r>
        <w:rPr>
          <w:noProof/>
          <w:color w:val="222222"/>
          <w:shd w:val="clear" w:color="auto" w:fill="FFFFFF"/>
        </w:rPr>
        <w:lastRenderedPageBreak/>
        <w:drawing>
          <wp:inline distT="0" distB="0" distL="0" distR="0">
            <wp:extent cx="4743450" cy="4781550"/>
            <wp:effectExtent l="19050" t="0" r="0" b="0"/>
            <wp:docPr id="2" name="Picture 2" descr="C:\Users\martin\Desktop\Economics_bertrand_dia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tin\Desktop\Economics_bertrand_diag1.png"/>
                    <pic:cNvPicPr>
                      <a:picLocks noChangeAspect="1" noChangeArrowheads="1"/>
                    </pic:cNvPicPr>
                  </pic:nvPicPr>
                  <pic:blipFill>
                    <a:blip r:embed="rId8"/>
                    <a:srcRect/>
                    <a:stretch>
                      <a:fillRect/>
                    </a:stretch>
                  </pic:blipFill>
                  <pic:spPr bwMode="auto">
                    <a:xfrm>
                      <a:off x="0" y="0"/>
                      <a:ext cx="4743450" cy="4781550"/>
                    </a:xfrm>
                    <a:prstGeom prst="rect">
                      <a:avLst/>
                    </a:prstGeom>
                    <a:noFill/>
                    <a:ln w="9525">
                      <a:noFill/>
                      <a:miter lim="800000"/>
                      <a:headEnd/>
                      <a:tailEnd/>
                    </a:ln>
                  </pic:spPr>
                </pic:pic>
              </a:graphicData>
            </a:graphic>
          </wp:inline>
        </w:drawing>
      </w:r>
    </w:p>
    <w:p w:rsidR="002D566E" w:rsidRPr="00492AE4" w:rsidRDefault="002D566E" w:rsidP="00492AE4">
      <w:pPr>
        <w:pStyle w:val="NormalWeb"/>
        <w:shd w:val="clear" w:color="auto" w:fill="FFFFFF"/>
        <w:spacing w:before="0" w:beforeAutospacing="0" w:after="0" w:afterAutospacing="0" w:line="480" w:lineRule="auto"/>
        <w:ind w:firstLine="720"/>
        <w:textAlignment w:val="baseline"/>
      </w:pPr>
      <w:r>
        <w:rPr>
          <w:noProof/>
        </w:rPr>
        <w:lastRenderedPageBreak/>
        <w:drawing>
          <wp:inline distT="0" distB="0" distL="0" distR="0">
            <wp:extent cx="4743450" cy="4781550"/>
            <wp:effectExtent l="19050" t="0" r="0" b="0"/>
            <wp:docPr id="1" name="Picture 1" descr="C:\Users\martin\Desktop\Economics_bertrand_dia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esktop\Economics_bertrand_diag2.png"/>
                    <pic:cNvPicPr>
                      <a:picLocks noChangeAspect="1" noChangeArrowheads="1"/>
                    </pic:cNvPicPr>
                  </pic:nvPicPr>
                  <pic:blipFill>
                    <a:blip r:embed="rId9"/>
                    <a:srcRect/>
                    <a:stretch>
                      <a:fillRect/>
                    </a:stretch>
                  </pic:blipFill>
                  <pic:spPr bwMode="auto">
                    <a:xfrm>
                      <a:off x="0" y="0"/>
                      <a:ext cx="4743450" cy="4781550"/>
                    </a:xfrm>
                    <a:prstGeom prst="rect">
                      <a:avLst/>
                    </a:prstGeom>
                    <a:noFill/>
                    <a:ln w="9525">
                      <a:noFill/>
                      <a:miter lim="800000"/>
                      <a:headEnd/>
                      <a:tailEnd/>
                    </a:ln>
                  </pic:spPr>
                </pic:pic>
              </a:graphicData>
            </a:graphic>
          </wp:inline>
        </w:drawing>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pPr>
      <w:r w:rsidRPr="00492AE4">
        <w:t>`` Two people may find this same occurrence, but show it utterly different from each other. The causes of this are that some people may see something from a different viewpoint or views. `` Davis clarifies these failures in Finlay's reasoning, namely, that he thinks there is one black and white in this condition. He takes to get distinguished this statement from Coras ' Arrest Memorable, her principle reference, but she insists that Coras did not go to definite conclusions, and there were many uncertainties in his perception of Bertrande.</w:t>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pPr>
      <w:r w:rsidRPr="00492AE4">
        <w:t xml:space="preserve">The Bertrand-Nash income point (point n) is the internal end to the PPF. Both firms would stay strictly better off than at this Bertrand-Nash structure if they act to higher costs, which could yield higher profits for both (levels to the north-east of n as shown by the direction </w:t>
      </w:r>
      <w:r w:rsidRPr="00492AE4">
        <w:lastRenderedPageBreak/>
        <w:t>of the arrows). The equilibrium result of the affirmative decision is end D, where gains for the national and international firms are made by âˆD and âˆ*D respectively.</w:t>
      </w:r>
    </w:p>
    <w:p w:rsidR="00036DCC" w:rsidRPr="00492AE4" w:rsidRDefault="00AE1E40" w:rsidP="0005339D">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The Bertrand-Nash income point (point n) is the internal end to the PPF. Both firms would stay strictly better off than at this Bertrand-Nash structure if they act to higher costs, which could yield higher profits for both (levels to the north-east of n as shown by the direction of the arrows). The equilibrium result of the affirmative decision is end D, where gains for the national and international firms are made by âˆD and âˆ*D respectively. Notice that if anti-dumping responsibilities are used, the income of the national business is higher than in the Bertrand-Nash structure (âˆD &gt; âˆN) while the income of the international firm is correspondingly lower (âˆ*D &lt; âˆ*N ). The road section that links point n to D represents all the potential required gains for any measure Ï. Make this end E (Ï) = (Eâˆ (Ï ), E*âˆ (Ï )) represent the anticipated income of these national and international business when the amount of getting an affirmative decision is equal to Ï.c If it is likely that the authorities will find dumping (e.g . Ï just about one), so E (Ï) lies closer to be D. Conversely, if it is supposed to prove to dump, (e.g . Ï just about zero) so E (Ï) lies more intimate to be n.</w:t>
      </w:r>
      <w:r w:rsidR="00761EDB" w:rsidRPr="00492AE4">
        <w:rPr>
          <w:color w:val="000000"/>
        </w:rPr>
        <w:t xml:space="preserve"> (</w:t>
      </w:r>
      <w:r w:rsidR="00761EDB" w:rsidRPr="00492AE4">
        <w:rPr>
          <w:color w:val="222222"/>
          <w:shd w:val="clear" w:color="auto" w:fill="FFFFFF"/>
        </w:rPr>
        <w:t>Iammarino,</w:t>
      </w:r>
      <w:r w:rsidR="009E5EFF" w:rsidRPr="00492AE4">
        <w:rPr>
          <w:color w:val="222222"/>
          <w:shd w:val="clear" w:color="auto" w:fill="FFFFFF"/>
        </w:rPr>
        <w:t xml:space="preserve"> </w:t>
      </w:r>
      <w:r w:rsidR="00761EDB" w:rsidRPr="00492AE4">
        <w:rPr>
          <w:i/>
          <w:color w:val="222222"/>
          <w:shd w:val="clear" w:color="auto" w:fill="FFFFFF"/>
        </w:rPr>
        <w:t>2018</w:t>
      </w:r>
      <w:r w:rsidR="009E5EFF" w:rsidRPr="00492AE4">
        <w:rPr>
          <w:i/>
          <w:color w:val="222222"/>
          <w:shd w:val="clear" w:color="auto" w:fill="FFFFFF"/>
        </w:rPr>
        <w:t>)</w:t>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 xml:space="preserve">Using elimination, we will decide which strategy was at the turn in the UK white salt industry. The Bertrand model says that where firms create identical products the equilibrium cost only exists if these firms have similar constant marginal costs, at which case equilibrium value equals the minimal cost. British Salt was the lower price producer of these two firms with the price system where their average prices were same as their marginal cost. We will also remove the Cournot framework, where firms compete by adjusting their production, as structure is where all firms operate in full capacity </w:t>
      </w:r>
      <w:r w:rsidR="009E5EFF" w:rsidRPr="00492AE4">
        <w:rPr>
          <w:color w:val="000000"/>
        </w:rPr>
        <w:t>(</w:t>
      </w:r>
      <w:r w:rsidR="009E5EFF" w:rsidRPr="00492AE4">
        <w:rPr>
          <w:color w:val="222222"/>
          <w:shd w:val="clear" w:color="auto" w:fill="FFFFFF"/>
        </w:rPr>
        <w:t xml:space="preserve">Ahmed, et al. 2015). </w:t>
      </w:r>
    </w:p>
    <w:p w:rsidR="00036DCC" w:rsidRPr="00492AE4" w:rsidRDefault="00AE1E40" w:rsidP="00492AE4">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lastRenderedPageBreak/>
        <w:t>In our standard model, we would provide for the endogenously determined amount of symmetric firms to compete under a wide variety of oligopoly models, including Cournot competition and Bertrand rivalry with differentiated goods. This allows us to obtain the common enough consideration for the raising fixed costs scheme to be productive. In the fourth part we concentrate on Bertrand rivalry with similar products and Cournot duopoly rivalry.</w:t>
      </w:r>
    </w:p>
    <w:p w:rsidR="00AE1E40" w:rsidRPr="00492AE4" w:rsidRDefault="00AE1E40" w:rsidP="002D566E">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The measured level of production differs a lot to that of value setting led equilibrium measures by Bertrand. Bertrand reasoned that duopolists independently and simultaneously put costs, P1 and P2. As there are similar products, consumers can usually prefer the business setting at the lowest price. So with this specific Bertrand equilibrium/Bertrand-Nash structure.</w:t>
      </w:r>
    </w:p>
    <w:p w:rsidR="00036DCC" w:rsidRPr="00492AE4" w:rsidRDefault="00AE1E40" w:rsidP="00492AE4">
      <w:pPr>
        <w:pStyle w:val="NormalWeb"/>
        <w:shd w:val="clear" w:color="auto" w:fill="FFFFFF"/>
        <w:spacing w:before="0" w:beforeAutospacing="0" w:after="0" w:afterAutospacing="0" w:line="480" w:lineRule="auto"/>
        <w:textAlignment w:val="baseline"/>
        <w:rPr>
          <w:color w:val="000000"/>
        </w:rPr>
      </w:pPr>
      <w:r w:rsidRPr="00492AE4">
        <w:rPr>
          <w:color w:val="000000"/>
        </w:rPr>
        <w:t xml:space="preserve">If participants of games know that different players may want to take game structures and equilibria from </w:t>
      </w:r>
      <w:r w:rsidR="00036DCC" w:rsidRPr="00492AE4">
        <w:rPr>
          <w:color w:val="000000"/>
        </w:rPr>
        <w:t>happening that</w:t>
      </w:r>
      <w:r w:rsidRPr="00492AE4">
        <w:rPr>
          <w:color w:val="000000"/>
        </w:rPr>
        <w:t xml:space="preserve"> gives them understanding to take account of what occurs off the balance paths of extensive-form games. Indeed, if the player fears that other players have not discovered </w:t>
      </w:r>
      <w:r w:rsidR="00036DCC" w:rsidRPr="00492AE4">
        <w:rPr>
          <w:color w:val="000000"/>
        </w:rPr>
        <w:t>equilibrium that</w:t>
      </w:r>
      <w:r w:rsidRPr="00492AE4">
        <w:rPr>
          <w:color w:val="000000"/>
        </w:rPr>
        <w:t xml:space="preserve"> may quickly off her incentive to make the equilibrium strategy herself. This raises a collection of profound questions about social education. Most difficult games that people make are already at development among people who</w:t>
      </w:r>
      <w:r w:rsidR="00036DCC" w:rsidRPr="00492AE4">
        <w:rPr>
          <w:color w:val="000000"/>
        </w:rPr>
        <w:t xml:space="preserve"> were socialized before them </w:t>
      </w:r>
      <w:r w:rsidRPr="00492AE4">
        <w:rPr>
          <w:color w:val="000000"/>
        </w:rPr>
        <w:t xml:space="preserve">that is, get taught play constructions and equilibrium </w:t>
      </w:r>
      <w:r w:rsidR="009E5EFF" w:rsidRPr="00492AE4">
        <w:rPr>
          <w:color w:val="000000"/>
        </w:rPr>
        <w:t>(</w:t>
      </w:r>
      <w:r w:rsidR="00492AE4" w:rsidRPr="00492AE4">
        <w:rPr>
          <w:color w:val="222222"/>
          <w:shd w:val="clear" w:color="auto" w:fill="FFFFFF"/>
        </w:rPr>
        <w:t xml:space="preserve">Amir, </w:t>
      </w:r>
      <w:r w:rsidR="009E5EFF" w:rsidRPr="00492AE4">
        <w:rPr>
          <w:color w:val="222222"/>
          <w:shd w:val="clear" w:color="auto" w:fill="FFFFFF"/>
        </w:rPr>
        <w:t>2018).</w:t>
      </w:r>
    </w:p>
    <w:p w:rsidR="00AE1E40" w:rsidRPr="00492AE4" w:rsidRDefault="00AE1E40" w:rsidP="00492AE4">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t xml:space="preserve">In-game of full knowledge, all participants learn the different player’s choice vectors; </w:t>
      </w:r>
      <w:r w:rsidR="009E5EFF" w:rsidRPr="00492AE4">
        <w:rPr>
          <w:color w:val="000000"/>
        </w:rPr>
        <w:t>so</w:t>
      </w:r>
      <w:r w:rsidRPr="00492AE4">
        <w:rPr>
          <w:color w:val="000000"/>
        </w:rPr>
        <w:t>, all players are playing the same game. At hypergamous, one or more participants may have incomplete knowledge, which takes players to create somewhat different versions of the same play or entirely different games altogether. The strategy shaped by player includes any lack of knowledge about the battle, which is denoted by where presents the choice vector of participant as understood (perceived) by player.</w:t>
      </w:r>
    </w:p>
    <w:p w:rsidR="0005339D" w:rsidRDefault="00AE1E40" w:rsidP="002D566E">
      <w:pPr>
        <w:rPr>
          <w:rFonts w:ascii="Times New Roman" w:hAnsi="Times New Roman" w:cs="Times New Roman"/>
          <w:b/>
          <w:sz w:val="24"/>
          <w:szCs w:val="24"/>
        </w:rPr>
      </w:pPr>
      <w:r w:rsidRPr="00492AE4">
        <w:rPr>
          <w:rFonts w:ascii="Times New Roman" w:hAnsi="Times New Roman" w:cs="Times New Roman"/>
          <w:sz w:val="24"/>
          <w:szCs w:val="24"/>
        </w:rPr>
        <w:t xml:space="preserve"> </w:t>
      </w:r>
      <w:r w:rsidRPr="00492AE4">
        <w:rPr>
          <w:rFonts w:ascii="Times New Roman" w:hAnsi="Times New Roman" w:cs="Times New Roman"/>
          <w:b/>
          <w:sz w:val="24"/>
          <w:szCs w:val="24"/>
        </w:rPr>
        <w:t>Conclusion</w:t>
      </w:r>
    </w:p>
    <w:p w:rsidR="00770478" w:rsidRPr="00492AE4" w:rsidRDefault="00770478" w:rsidP="00770478">
      <w:pPr>
        <w:pStyle w:val="NormalWeb"/>
        <w:shd w:val="clear" w:color="auto" w:fill="FFFFFF"/>
        <w:spacing w:before="0" w:beforeAutospacing="0" w:after="0" w:afterAutospacing="0" w:line="480" w:lineRule="auto"/>
        <w:ind w:firstLine="720"/>
        <w:textAlignment w:val="baseline"/>
        <w:rPr>
          <w:color w:val="000000"/>
        </w:rPr>
      </w:pPr>
      <w:r w:rsidRPr="00492AE4">
        <w:rPr>
          <w:color w:val="000000"/>
        </w:rPr>
        <w:lastRenderedPageBreak/>
        <w:t>When firms change costs and can rapidly scale production to create arbitrary amounts, the lowest-price business gets the entire industry. That is named Bertrand competition. Bertrand's rivalry is robust. Each business is attempting to pay one cent not as much as all that other firms are loading, and that results in firms bidding the price down to marginal value (and bad profits). That happens whether there are two firms or more firms.</w:t>
      </w:r>
      <w:r w:rsidRPr="00492AE4">
        <w:t>The measured level of production differs a lot to that of value setting led equilibrium measures by Bertrand. Bertrand reasoned that duopolists independently and simultaneously put costs, P1 and P2. As there are similar products, consumers can usually prefer the business setting at the lowest price</w:t>
      </w:r>
      <w:r>
        <w:t>.</w:t>
      </w:r>
      <w:r w:rsidRPr="00770478">
        <w:rPr>
          <w:color w:val="000000"/>
        </w:rPr>
        <w:t xml:space="preserve"> </w:t>
      </w:r>
      <w:r w:rsidRPr="00492AE4">
        <w:rPr>
          <w:color w:val="000000"/>
        </w:rPr>
        <w:t>In our standard model, we would provide for the endogenously determined amount of symmetric firms to compete under a wide variety of oligopoly models, including Cournot competition and Bertrand rivalry with differentiated goods. This allows us to obtain the common enough consideration for the raising fixed costs scheme to be productive. In the fourth part we concentrate on Bertrand rivalry with similar products and Cournot duopoly rivalry.</w:t>
      </w:r>
    </w:p>
    <w:p w:rsidR="00770478" w:rsidRPr="00770478" w:rsidRDefault="00770478" w:rsidP="00770478">
      <w:pPr>
        <w:pStyle w:val="NormalWeb"/>
        <w:shd w:val="clear" w:color="auto" w:fill="FFFFFF"/>
        <w:spacing w:before="0" w:beforeAutospacing="0" w:after="0" w:afterAutospacing="0" w:line="480" w:lineRule="auto"/>
        <w:ind w:firstLine="720"/>
        <w:textAlignment w:val="baseline"/>
        <w:rPr>
          <w:color w:val="000000"/>
        </w:rPr>
      </w:pPr>
    </w:p>
    <w:p w:rsidR="0005339D" w:rsidRDefault="0005339D" w:rsidP="00492AE4">
      <w:pPr>
        <w:jc w:val="center"/>
        <w:rPr>
          <w:rFonts w:ascii="Times New Roman" w:hAnsi="Times New Roman" w:cs="Times New Roman"/>
          <w:color w:val="000000"/>
          <w:sz w:val="24"/>
          <w:szCs w:val="24"/>
          <w:shd w:val="clear" w:color="auto" w:fill="FFFFFF"/>
        </w:rPr>
      </w:pPr>
    </w:p>
    <w:p w:rsidR="00770478" w:rsidRDefault="00770478">
      <w:pPr>
        <w:spacing w:line="276" w:lineRule="auto"/>
        <w:rPr>
          <w:rFonts w:ascii="Times New Roman" w:hAnsi="Times New Roman" w:cs="Times New Roman"/>
          <w:sz w:val="24"/>
          <w:szCs w:val="24"/>
        </w:rPr>
      </w:pPr>
      <w:r>
        <w:rPr>
          <w:rFonts w:ascii="Times New Roman" w:hAnsi="Times New Roman" w:cs="Times New Roman"/>
          <w:sz w:val="24"/>
          <w:szCs w:val="24"/>
        </w:rPr>
        <w:br w:type="page"/>
      </w:r>
    </w:p>
    <w:p w:rsidR="0005339D" w:rsidRPr="002D566E" w:rsidRDefault="008A1FD4" w:rsidP="002D566E">
      <w:pPr>
        <w:jc w:val="center"/>
        <w:rPr>
          <w:rFonts w:ascii="Times New Roman" w:hAnsi="Times New Roman" w:cs="Times New Roman"/>
          <w:sz w:val="24"/>
          <w:szCs w:val="24"/>
        </w:rPr>
      </w:pPr>
      <w:r w:rsidRPr="00492AE4">
        <w:rPr>
          <w:rFonts w:ascii="Times New Roman" w:hAnsi="Times New Roman" w:cs="Times New Roman"/>
          <w:sz w:val="24"/>
          <w:szCs w:val="24"/>
        </w:rPr>
        <w:lastRenderedPageBreak/>
        <w:t>References</w:t>
      </w:r>
    </w:p>
    <w:p w:rsidR="0005339D" w:rsidRPr="00492AE4" w:rsidRDefault="0005339D" w:rsidP="00492AE4">
      <w:pPr>
        <w:tabs>
          <w:tab w:val="left" w:pos="7470"/>
        </w:tabs>
        <w:ind w:left="720" w:hanging="720"/>
        <w:rPr>
          <w:rFonts w:ascii="Times New Roman" w:hAnsi="Times New Roman" w:cs="Times New Roman"/>
          <w:color w:val="222222"/>
          <w:sz w:val="24"/>
          <w:szCs w:val="24"/>
          <w:shd w:val="clear" w:color="auto" w:fill="FFFFFF"/>
        </w:rPr>
      </w:pPr>
      <w:r w:rsidRPr="00492AE4">
        <w:rPr>
          <w:rFonts w:ascii="Times New Roman" w:hAnsi="Times New Roman" w:cs="Times New Roman"/>
          <w:color w:val="222222"/>
          <w:sz w:val="24"/>
          <w:szCs w:val="24"/>
          <w:shd w:val="clear" w:color="auto" w:fill="FFFFFF"/>
        </w:rPr>
        <w:t>Ahmed, E., Elsadany, A. A., &amp; Puu, T. (2015). On Bertrand duopoly game with differentiated goods. </w:t>
      </w:r>
      <w:r w:rsidRPr="00492AE4">
        <w:rPr>
          <w:rFonts w:ascii="Times New Roman" w:hAnsi="Times New Roman" w:cs="Times New Roman"/>
          <w:i/>
          <w:iCs/>
          <w:color w:val="222222"/>
          <w:sz w:val="24"/>
          <w:szCs w:val="24"/>
          <w:shd w:val="clear" w:color="auto" w:fill="FFFFFF"/>
        </w:rPr>
        <w:t>Applied Mathematics and Computation</w:t>
      </w:r>
      <w:r w:rsidRPr="00492AE4">
        <w:rPr>
          <w:rFonts w:ascii="Times New Roman" w:hAnsi="Times New Roman" w:cs="Times New Roman"/>
          <w:color w:val="222222"/>
          <w:sz w:val="24"/>
          <w:szCs w:val="24"/>
          <w:shd w:val="clear" w:color="auto" w:fill="FFFFFF"/>
        </w:rPr>
        <w:t>, </w:t>
      </w:r>
      <w:r w:rsidRPr="00492AE4">
        <w:rPr>
          <w:rFonts w:ascii="Times New Roman" w:hAnsi="Times New Roman" w:cs="Times New Roman"/>
          <w:i/>
          <w:iCs/>
          <w:color w:val="222222"/>
          <w:sz w:val="24"/>
          <w:szCs w:val="24"/>
          <w:shd w:val="clear" w:color="auto" w:fill="FFFFFF"/>
        </w:rPr>
        <w:t>251</w:t>
      </w:r>
      <w:r w:rsidRPr="00492AE4">
        <w:rPr>
          <w:rFonts w:ascii="Times New Roman" w:hAnsi="Times New Roman" w:cs="Times New Roman"/>
          <w:color w:val="222222"/>
          <w:sz w:val="24"/>
          <w:szCs w:val="24"/>
          <w:shd w:val="clear" w:color="auto" w:fill="FFFFFF"/>
        </w:rPr>
        <w:t>, 169-179.</w:t>
      </w:r>
    </w:p>
    <w:p w:rsidR="0005339D" w:rsidRPr="00492AE4" w:rsidRDefault="0005339D" w:rsidP="00492AE4">
      <w:pPr>
        <w:tabs>
          <w:tab w:val="left" w:pos="7470"/>
        </w:tabs>
        <w:ind w:left="720" w:hanging="720"/>
        <w:rPr>
          <w:rFonts w:ascii="Times New Roman" w:hAnsi="Times New Roman" w:cs="Times New Roman"/>
          <w:color w:val="222222"/>
          <w:sz w:val="24"/>
          <w:szCs w:val="24"/>
          <w:shd w:val="clear" w:color="auto" w:fill="FFFFFF"/>
        </w:rPr>
      </w:pPr>
      <w:r w:rsidRPr="00492AE4">
        <w:rPr>
          <w:rFonts w:ascii="Times New Roman" w:hAnsi="Times New Roman" w:cs="Times New Roman"/>
          <w:color w:val="222222"/>
          <w:sz w:val="24"/>
          <w:szCs w:val="24"/>
          <w:shd w:val="clear" w:color="auto" w:fill="FFFFFF"/>
        </w:rPr>
        <w:t>Amir, R. (2018). On the Cournot and Bertrand oligopolies and the theory of supermodular games. </w:t>
      </w:r>
      <w:r w:rsidRPr="00492AE4">
        <w:rPr>
          <w:rFonts w:ascii="Times New Roman" w:hAnsi="Times New Roman" w:cs="Times New Roman"/>
          <w:i/>
          <w:iCs/>
          <w:color w:val="222222"/>
          <w:sz w:val="24"/>
          <w:szCs w:val="24"/>
          <w:shd w:val="clear" w:color="auto" w:fill="FFFFFF"/>
        </w:rPr>
        <w:t>Handbook of Game Theory and Industrial Organization</w:t>
      </w:r>
      <w:r w:rsidRPr="00492AE4">
        <w:rPr>
          <w:rFonts w:ascii="Times New Roman" w:hAnsi="Times New Roman" w:cs="Times New Roman"/>
          <w:color w:val="222222"/>
          <w:sz w:val="24"/>
          <w:szCs w:val="24"/>
          <w:shd w:val="clear" w:color="auto" w:fill="FFFFFF"/>
        </w:rPr>
        <w:t>, </w:t>
      </w:r>
      <w:r w:rsidRPr="00492AE4">
        <w:rPr>
          <w:rFonts w:ascii="Times New Roman" w:hAnsi="Times New Roman" w:cs="Times New Roman"/>
          <w:i/>
          <w:iCs/>
          <w:color w:val="222222"/>
          <w:sz w:val="24"/>
          <w:szCs w:val="24"/>
          <w:shd w:val="clear" w:color="auto" w:fill="FFFFFF"/>
        </w:rPr>
        <w:t>1</w:t>
      </w:r>
      <w:r w:rsidRPr="00492AE4">
        <w:rPr>
          <w:rFonts w:ascii="Times New Roman" w:hAnsi="Times New Roman" w:cs="Times New Roman"/>
          <w:color w:val="222222"/>
          <w:sz w:val="24"/>
          <w:szCs w:val="24"/>
          <w:shd w:val="clear" w:color="auto" w:fill="FFFFFF"/>
        </w:rPr>
        <w:t>, 40.</w:t>
      </w:r>
    </w:p>
    <w:p w:rsidR="0005339D" w:rsidRPr="00492AE4" w:rsidRDefault="0005339D" w:rsidP="00492AE4">
      <w:pPr>
        <w:ind w:left="720" w:hanging="720"/>
        <w:rPr>
          <w:rFonts w:ascii="Times New Roman" w:hAnsi="Times New Roman" w:cs="Times New Roman"/>
          <w:color w:val="222222"/>
          <w:sz w:val="24"/>
          <w:szCs w:val="24"/>
          <w:shd w:val="clear" w:color="auto" w:fill="FFFFFF"/>
        </w:rPr>
      </w:pPr>
      <w:r w:rsidRPr="00492AE4">
        <w:rPr>
          <w:rFonts w:ascii="Times New Roman" w:hAnsi="Times New Roman" w:cs="Times New Roman"/>
          <w:color w:val="222222"/>
          <w:sz w:val="24"/>
          <w:szCs w:val="24"/>
          <w:shd w:val="clear" w:color="auto" w:fill="FFFFFF"/>
        </w:rPr>
        <w:t>Iammarino, S. (2018). FDI and regional development policy. </w:t>
      </w:r>
      <w:r w:rsidRPr="00492AE4">
        <w:rPr>
          <w:rFonts w:ascii="Times New Roman" w:hAnsi="Times New Roman" w:cs="Times New Roman"/>
          <w:i/>
          <w:iCs/>
          <w:color w:val="222222"/>
          <w:sz w:val="24"/>
          <w:szCs w:val="24"/>
          <w:shd w:val="clear" w:color="auto" w:fill="FFFFFF"/>
        </w:rPr>
        <w:t>Journal of International Business Policy</w:t>
      </w:r>
      <w:r w:rsidRPr="00492AE4">
        <w:rPr>
          <w:rFonts w:ascii="Times New Roman" w:hAnsi="Times New Roman" w:cs="Times New Roman"/>
          <w:color w:val="222222"/>
          <w:sz w:val="24"/>
          <w:szCs w:val="24"/>
          <w:shd w:val="clear" w:color="auto" w:fill="FFFFFF"/>
        </w:rPr>
        <w:t>, </w:t>
      </w:r>
      <w:r w:rsidRPr="00492AE4">
        <w:rPr>
          <w:rFonts w:ascii="Times New Roman" w:hAnsi="Times New Roman" w:cs="Times New Roman"/>
          <w:i/>
          <w:iCs/>
          <w:color w:val="222222"/>
          <w:sz w:val="24"/>
          <w:szCs w:val="24"/>
          <w:shd w:val="clear" w:color="auto" w:fill="FFFFFF"/>
        </w:rPr>
        <w:t>1</w:t>
      </w:r>
      <w:r w:rsidRPr="00492AE4">
        <w:rPr>
          <w:rFonts w:ascii="Times New Roman" w:hAnsi="Times New Roman" w:cs="Times New Roman"/>
          <w:color w:val="222222"/>
          <w:sz w:val="24"/>
          <w:szCs w:val="24"/>
          <w:shd w:val="clear" w:color="auto" w:fill="FFFFFF"/>
        </w:rPr>
        <w:t>(3-4), 157-183.</w:t>
      </w:r>
    </w:p>
    <w:p w:rsidR="0005339D" w:rsidRPr="00492AE4" w:rsidRDefault="0005339D" w:rsidP="00492AE4">
      <w:pPr>
        <w:tabs>
          <w:tab w:val="left" w:pos="7470"/>
        </w:tabs>
        <w:ind w:left="720" w:hanging="720"/>
        <w:rPr>
          <w:rFonts w:ascii="Times New Roman" w:hAnsi="Times New Roman" w:cs="Times New Roman"/>
          <w:color w:val="222222"/>
          <w:sz w:val="24"/>
          <w:szCs w:val="24"/>
          <w:shd w:val="clear" w:color="auto" w:fill="FFFFFF"/>
        </w:rPr>
      </w:pPr>
      <w:r w:rsidRPr="00492AE4">
        <w:rPr>
          <w:rFonts w:ascii="Times New Roman" w:hAnsi="Times New Roman" w:cs="Times New Roman"/>
          <w:color w:val="222222"/>
          <w:sz w:val="24"/>
          <w:szCs w:val="24"/>
          <w:shd w:val="clear" w:color="auto" w:fill="FFFFFF"/>
        </w:rPr>
        <w:t>Sidak, J. G. (2018). Is Patent Holdup a Hoax. </w:t>
      </w:r>
      <w:r w:rsidRPr="00492AE4">
        <w:rPr>
          <w:rFonts w:ascii="Times New Roman" w:hAnsi="Times New Roman" w:cs="Times New Roman"/>
          <w:i/>
          <w:iCs/>
          <w:color w:val="222222"/>
          <w:sz w:val="24"/>
          <w:szCs w:val="24"/>
          <w:shd w:val="clear" w:color="auto" w:fill="FFFFFF"/>
        </w:rPr>
        <w:t>Criterion J. on Innovation</w:t>
      </w:r>
      <w:r w:rsidRPr="00492AE4">
        <w:rPr>
          <w:rFonts w:ascii="Times New Roman" w:hAnsi="Times New Roman" w:cs="Times New Roman"/>
          <w:color w:val="222222"/>
          <w:sz w:val="24"/>
          <w:szCs w:val="24"/>
          <w:shd w:val="clear" w:color="auto" w:fill="FFFFFF"/>
        </w:rPr>
        <w:t>, </w:t>
      </w:r>
      <w:r w:rsidRPr="00492AE4">
        <w:rPr>
          <w:rFonts w:ascii="Times New Roman" w:hAnsi="Times New Roman" w:cs="Times New Roman"/>
          <w:i/>
          <w:iCs/>
          <w:color w:val="222222"/>
          <w:sz w:val="24"/>
          <w:szCs w:val="24"/>
          <w:shd w:val="clear" w:color="auto" w:fill="FFFFFF"/>
        </w:rPr>
        <w:t>3</w:t>
      </w:r>
      <w:r w:rsidRPr="00492AE4">
        <w:rPr>
          <w:rFonts w:ascii="Times New Roman" w:hAnsi="Times New Roman" w:cs="Times New Roman"/>
          <w:color w:val="222222"/>
          <w:sz w:val="24"/>
          <w:szCs w:val="24"/>
          <w:shd w:val="clear" w:color="auto" w:fill="FFFFFF"/>
        </w:rPr>
        <w:t xml:space="preserve">, 401. </w:t>
      </w:r>
      <w:r w:rsidRPr="00492AE4">
        <w:rPr>
          <w:rFonts w:ascii="Times New Roman" w:hAnsi="Times New Roman" w:cs="Times New Roman"/>
          <w:color w:val="222222"/>
          <w:sz w:val="24"/>
          <w:szCs w:val="24"/>
          <w:shd w:val="clear" w:color="auto" w:fill="FFFFFF"/>
        </w:rPr>
        <w:tab/>
      </w:r>
    </w:p>
    <w:sectPr w:rsidR="0005339D" w:rsidRPr="00492AE4" w:rsidSect="00FA060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88A" w:rsidRDefault="00AB288A" w:rsidP="003B3E45">
      <w:pPr>
        <w:spacing w:after="0" w:line="240" w:lineRule="auto"/>
      </w:pPr>
      <w:r>
        <w:separator/>
      </w:r>
    </w:p>
  </w:endnote>
  <w:endnote w:type="continuationSeparator" w:id="1">
    <w:p w:rsidR="00AB288A" w:rsidRDefault="00AB288A" w:rsidP="003B3E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88A" w:rsidRDefault="00AB288A" w:rsidP="003B3E45">
      <w:pPr>
        <w:spacing w:after="0" w:line="240" w:lineRule="auto"/>
      </w:pPr>
      <w:r>
        <w:separator/>
      </w:r>
    </w:p>
  </w:footnote>
  <w:footnote w:type="continuationSeparator" w:id="1">
    <w:p w:rsidR="00AB288A" w:rsidRDefault="00AB288A" w:rsidP="003B3E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606" w:rsidRPr="00FA0606" w:rsidRDefault="00AE1E40" w:rsidP="003C3255">
    <w:pPr>
      <w:pStyle w:val="Header"/>
      <w:spacing w:line="276" w:lineRule="auto"/>
      <w:rPr>
        <w:rFonts w:ascii="Times New Roman" w:hAnsi="Times New Roman" w:cs="Times New Roman"/>
        <w:sz w:val="24"/>
        <w:szCs w:val="24"/>
      </w:rPr>
    </w:pPr>
    <w:r w:rsidRPr="00700848">
      <w:rPr>
        <w:rFonts w:ascii="Times New Roman" w:hAnsi="Times New Roman" w:cs="Times New Roman"/>
        <w:color w:val="000000"/>
        <w:sz w:val="24"/>
        <w:szCs w:val="24"/>
      </w:rPr>
      <w:t>BERTRAND</w:t>
    </w:r>
    <w:r w:rsidR="00FA0606" w:rsidRPr="00FA0606">
      <w:rPr>
        <w:rFonts w:ascii="Times New Roman" w:hAnsi="Times New Roman" w:cs="Times New Roman"/>
        <w:sz w:val="24"/>
        <w:szCs w:val="24"/>
      </w:rPr>
      <w:tab/>
    </w:r>
    <w:r w:rsidR="00FA0606"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CA4DBB" w:rsidRPr="00FA0606">
          <w:rPr>
            <w:rFonts w:ascii="Times New Roman" w:hAnsi="Times New Roman" w:cs="Times New Roman"/>
            <w:sz w:val="24"/>
            <w:szCs w:val="24"/>
          </w:rPr>
          <w:fldChar w:fldCharType="begin"/>
        </w:r>
        <w:r w:rsidR="00FA0606" w:rsidRPr="00FA0606">
          <w:rPr>
            <w:rFonts w:ascii="Times New Roman" w:hAnsi="Times New Roman" w:cs="Times New Roman"/>
            <w:sz w:val="24"/>
            <w:szCs w:val="24"/>
          </w:rPr>
          <w:instrText xml:space="preserve"> PAGE   \* MERGEFORMAT </w:instrText>
        </w:r>
        <w:r w:rsidR="00CA4DBB" w:rsidRPr="00FA0606">
          <w:rPr>
            <w:rFonts w:ascii="Times New Roman" w:hAnsi="Times New Roman" w:cs="Times New Roman"/>
            <w:sz w:val="24"/>
            <w:szCs w:val="24"/>
          </w:rPr>
          <w:fldChar w:fldCharType="separate"/>
        </w:r>
        <w:r w:rsidR="00710362">
          <w:rPr>
            <w:rFonts w:ascii="Times New Roman" w:hAnsi="Times New Roman" w:cs="Times New Roman"/>
            <w:noProof/>
            <w:sz w:val="24"/>
            <w:szCs w:val="24"/>
          </w:rPr>
          <w:t>2</w:t>
        </w:r>
        <w:r w:rsidR="00CA4DBB" w:rsidRPr="00FA0606">
          <w:rPr>
            <w:rFonts w:ascii="Times New Roman" w:hAnsi="Times New Roman" w:cs="Times New Roman"/>
            <w:noProof/>
            <w:sz w:val="24"/>
            <w:szCs w:val="24"/>
          </w:rPr>
          <w:fldChar w:fldCharType="end"/>
        </w:r>
      </w:sdtContent>
    </w:sdt>
  </w:p>
  <w:p w:rsidR="008A1FD4" w:rsidRPr="00FA0606" w:rsidRDefault="008A1FD4"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9A" w:rsidRPr="00130D9A" w:rsidRDefault="007F7F71" w:rsidP="00F75845">
    <w:pPr>
      <w:rPr>
        <w:rFonts w:ascii="Times New Roman" w:hAnsi="Times New Roman" w:cs="Times New Roman"/>
        <w:sz w:val="24"/>
        <w:szCs w:val="24"/>
      </w:rPr>
    </w:pPr>
    <w:r>
      <w:rPr>
        <w:rFonts w:ascii="Times New Roman" w:hAnsi="Times New Roman" w:cs="Times New Roman"/>
        <w:sz w:val="24"/>
        <w:szCs w:val="24"/>
      </w:rPr>
      <w:t>Running head:</w:t>
    </w:r>
    <w:r w:rsidR="00F75845" w:rsidRPr="00F75845">
      <w:rPr>
        <w:rFonts w:ascii="Times New Roman" w:hAnsi="Times New Roman" w:cs="Times New Roman"/>
        <w:sz w:val="24"/>
        <w:szCs w:val="24"/>
        <w:shd w:val="clear" w:color="auto" w:fill="FFFFFF"/>
      </w:rPr>
      <w:t xml:space="preserve"> </w:t>
    </w:r>
    <w:r w:rsidR="00AE1E40" w:rsidRPr="00700848">
      <w:rPr>
        <w:rFonts w:ascii="Times New Roman" w:hAnsi="Times New Roman" w:cs="Times New Roman"/>
        <w:color w:val="000000"/>
        <w:sz w:val="24"/>
        <w:szCs w:val="24"/>
      </w:rPr>
      <w:t xml:space="preserve">BERTRAND </w:t>
    </w:r>
    <w:r w:rsidR="00AE1E40">
      <w:rPr>
        <w:rFonts w:ascii="Times New Roman" w:hAnsi="Times New Roman" w:cs="Times New Roman"/>
        <w:color w:val="000000"/>
        <w:sz w:val="24"/>
        <w:szCs w:val="24"/>
      </w:rPr>
      <w:tab/>
    </w:r>
    <w:r w:rsidR="00AE1E40">
      <w:rPr>
        <w:rFonts w:ascii="Times New Roman" w:hAnsi="Times New Roman" w:cs="Times New Roman"/>
        <w:color w:val="000000"/>
        <w:sz w:val="24"/>
        <w:szCs w:val="24"/>
      </w:rPr>
      <w:tab/>
    </w:r>
    <w:r w:rsidR="00F75845">
      <w:rPr>
        <w:rFonts w:ascii="Times New Roman" w:hAnsi="Times New Roman" w:cs="Times New Roman"/>
        <w:sz w:val="24"/>
        <w:szCs w:val="24"/>
      </w:rPr>
      <w:tab/>
    </w:r>
    <w:r w:rsidR="00F75845">
      <w:rPr>
        <w:rFonts w:ascii="Times New Roman" w:hAnsi="Times New Roman" w:cs="Times New Roman"/>
        <w:sz w:val="24"/>
        <w:szCs w:val="24"/>
      </w:rPr>
      <w:tab/>
    </w:r>
    <w:r w:rsidR="00F75845">
      <w:rPr>
        <w:rFonts w:ascii="Times New Roman" w:hAnsi="Times New Roman" w:cs="Times New Roman"/>
        <w:sz w:val="24"/>
        <w:szCs w:val="24"/>
      </w:rPr>
      <w:tab/>
    </w:r>
    <w:r w:rsidR="00F75845">
      <w:rPr>
        <w:rFonts w:ascii="Times New Roman" w:hAnsi="Times New Roman" w:cs="Times New Roman"/>
        <w:sz w:val="24"/>
        <w:szCs w:val="24"/>
      </w:rPr>
      <w:tab/>
    </w:r>
    <w:r w:rsidR="00130D9A" w:rsidRPr="00130D9A">
      <w:rPr>
        <w:rFonts w:ascii="Times New Roman" w:hAnsi="Times New Roman" w:cs="Times New Roman"/>
        <w:sz w:val="24"/>
        <w:szCs w:val="24"/>
      </w:rPr>
      <w:tab/>
    </w:r>
    <w:r w:rsidR="00130D9A"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CA4DBB" w:rsidRPr="00130D9A">
          <w:rPr>
            <w:rFonts w:ascii="Times New Roman" w:hAnsi="Times New Roman" w:cs="Times New Roman"/>
            <w:sz w:val="24"/>
            <w:szCs w:val="24"/>
          </w:rPr>
          <w:fldChar w:fldCharType="begin"/>
        </w:r>
        <w:r w:rsidR="00130D9A" w:rsidRPr="00130D9A">
          <w:rPr>
            <w:rFonts w:ascii="Times New Roman" w:hAnsi="Times New Roman" w:cs="Times New Roman"/>
            <w:sz w:val="24"/>
            <w:szCs w:val="24"/>
          </w:rPr>
          <w:instrText xml:space="preserve"> PAGE   \* MERGEFORMAT </w:instrText>
        </w:r>
        <w:r w:rsidR="00CA4DBB" w:rsidRPr="00130D9A">
          <w:rPr>
            <w:rFonts w:ascii="Times New Roman" w:hAnsi="Times New Roman" w:cs="Times New Roman"/>
            <w:sz w:val="24"/>
            <w:szCs w:val="24"/>
          </w:rPr>
          <w:fldChar w:fldCharType="separate"/>
        </w:r>
        <w:r w:rsidR="00710362">
          <w:rPr>
            <w:rFonts w:ascii="Times New Roman" w:hAnsi="Times New Roman" w:cs="Times New Roman"/>
            <w:noProof/>
            <w:sz w:val="24"/>
            <w:szCs w:val="24"/>
          </w:rPr>
          <w:t>1</w:t>
        </w:r>
        <w:r w:rsidR="00CA4DBB" w:rsidRPr="00130D9A">
          <w:rPr>
            <w:rFonts w:ascii="Times New Roman" w:hAnsi="Times New Roman" w:cs="Times New Roman"/>
            <w:noProof/>
            <w:sz w:val="24"/>
            <w:szCs w:val="24"/>
          </w:rPr>
          <w:fldChar w:fldCharType="end"/>
        </w:r>
      </w:sdtContent>
    </w:sdt>
  </w:p>
  <w:p w:rsidR="008A1FD4" w:rsidRPr="00130D9A" w:rsidRDefault="008A1FD4" w:rsidP="00130D9A">
    <w:pPr>
      <w:pStyle w:val="Header"/>
      <w:spacing w:line="276"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5611B"/>
    <w:multiLevelType w:val="hybridMultilevel"/>
    <w:tmpl w:val="D7705BC0"/>
    <w:lvl w:ilvl="0" w:tplc="6EF892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UwNja3tDAzsgAyzZV0lIJTi4sz8/NACgxrAdfD2R4sAAAA"/>
  </w:docVars>
  <w:rsids>
    <w:rsidRoot w:val="006E38D0"/>
    <w:rsid w:val="00010493"/>
    <w:rsid w:val="00032BCD"/>
    <w:rsid w:val="0003397F"/>
    <w:rsid w:val="00036DCC"/>
    <w:rsid w:val="0005339D"/>
    <w:rsid w:val="000558AD"/>
    <w:rsid w:val="00062762"/>
    <w:rsid w:val="000B40AA"/>
    <w:rsid w:val="000E7A4F"/>
    <w:rsid w:val="000F2ECA"/>
    <w:rsid w:val="000F4512"/>
    <w:rsid w:val="000F6C26"/>
    <w:rsid w:val="00130D9A"/>
    <w:rsid w:val="00176E52"/>
    <w:rsid w:val="0018338A"/>
    <w:rsid w:val="001C0CFE"/>
    <w:rsid w:val="00204733"/>
    <w:rsid w:val="0021039C"/>
    <w:rsid w:val="0025638E"/>
    <w:rsid w:val="00260D5D"/>
    <w:rsid w:val="002740FF"/>
    <w:rsid w:val="0029192D"/>
    <w:rsid w:val="002A2812"/>
    <w:rsid w:val="002B2563"/>
    <w:rsid w:val="002B2D79"/>
    <w:rsid w:val="002D566E"/>
    <w:rsid w:val="002E26E5"/>
    <w:rsid w:val="0031064F"/>
    <w:rsid w:val="00325EE6"/>
    <w:rsid w:val="0035785B"/>
    <w:rsid w:val="003B36DC"/>
    <w:rsid w:val="003B3E45"/>
    <w:rsid w:val="003C3255"/>
    <w:rsid w:val="0042772A"/>
    <w:rsid w:val="00444ACA"/>
    <w:rsid w:val="004778A2"/>
    <w:rsid w:val="00492AE4"/>
    <w:rsid w:val="004B38D1"/>
    <w:rsid w:val="004C4CF6"/>
    <w:rsid w:val="004D224E"/>
    <w:rsid w:val="004F276A"/>
    <w:rsid w:val="004F3072"/>
    <w:rsid w:val="0052560D"/>
    <w:rsid w:val="00532D38"/>
    <w:rsid w:val="00540C82"/>
    <w:rsid w:val="00551DDD"/>
    <w:rsid w:val="00573FA1"/>
    <w:rsid w:val="005826D7"/>
    <w:rsid w:val="0058429E"/>
    <w:rsid w:val="00591497"/>
    <w:rsid w:val="005A6CDA"/>
    <w:rsid w:val="005A7BEC"/>
    <w:rsid w:val="005E0560"/>
    <w:rsid w:val="005E3667"/>
    <w:rsid w:val="005F1067"/>
    <w:rsid w:val="0063290C"/>
    <w:rsid w:val="0063523D"/>
    <w:rsid w:val="006465C7"/>
    <w:rsid w:val="00653FB9"/>
    <w:rsid w:val="00655AB0"/>
    <w:rsid w:val="006A6DA3"/>
    <w:rsid w:val="006B6A31"/>
    <w:rsid w:val="006C1C1F"/>
    <w:rsid w:val="006D0C97"/>
    <w:rsid w:val="006D7E6A"/>
    <w:rsid w:val="006E02E3"/>
    <w:rsid w:val="006E38D0"/>
    <w:rsid w:val="006E3FE9"/>
    <w:rsid w:val="006F0D28"/>
    <w:rsid w:val="006F2015"/>
    <w:rsid w:val="00704D04"/>
    <w:rsid w:val="00710362"/>
    <w:rsid w:val="007439A1"/>
    <w:rsid w:val="00761EDB"/>
    <w:rsid w:val="00763E58"/>
    <w:rsid w:val="00770478"/>
    <w:rsid w:val="00780871"/>
    <w:rsid w:val="007A0399"/>
    <w:rsid w:val="007B157F"/>
    <w:rsid w:val="007B45EA"/>
    <w:rsid w:val="007E4BEE"/>
    <w:rsid w:val="007F590D"/>
    <w:rsid w:val="007F7F71"/>
    <w:rsid w:val="008048F5"/>
    <w:rsid w:val="00816763"/>
    <w:rsid w:val="00823A87"/>
    <w:rsid w:val="00825D3E"/>
    <w:rsid w:val="00834D70"/>
    <w:rsid w:val="00844369"/>
    <w:rsid w:val="00846B44"/>
    <w:rsid w:val="00864268"/>
    <w:rsid w:val="00873BB3"/>
    <w:rsid w:val="008A1FD4"/>
    <w:rsid w:val="008B662C"/>
    <w:rsid w:val="008C3B8E"/>
    <w:rsid w:val="008D22EB"/>
    <w:rsid w:val="00902F80"/>
    <w:rsid w:val="00903D3D"/>
    <w:rsid w:val="00937156"/>
    <w:rsid w:val="00942045"/>
    <w:rsid w:val="0095515C"/>
    <w:rsid w:val="009D64CD"/>
    <w:rsid w:val="009E5EFF"/>
    <w:rsid w:val="00A2236A"/>
    <w:rsid w:val="00A27147"/>
    <w:rsid w:val="00A37FDE"/>
    <w:rsid w:val="00A5762C"/>
    <w:rsid w:val="00A73C04"/>
    <w:rsid w:val="00A8142D"/>
    <w:rsid w:val="00A82BF0"/>
    <w:rsid w:val="00AB288A"/>
    <w:rsid w:val="00AC5785"/>
    <w:rsid w:val="00AE1E40"/>
    <w:rsid w:val="00AF309E"/>
    <w:rsid w:val="00AF6FE8"/>
    <w:rsid w:val="00B444E0"/>
    <w:rsid w:val="00B54F1F"/>
    <w:rsid w:val="00BE1D63"/>
    <w:rsid w:val="00BE7973"/>
    <w:rsid w:val="00C5631F"/>
    <w:rsid w:val="00C63398"/>
    <w:rsid w:val="00C6784C"/>
    <w:rsid w:val="00C67A17"/>
    <w:rsid w:val="00CA4DBB"/>
    <w:rsid w:val="00D0360D"/>
    <w:rsid w:val="00D22CBD"/>
    <w:rsid w:val="00D33248"/>
    <w:rsid w:val="00D365B3"/>
    <w:rsid w:val="00D66BFE"/>
    <w:rsid w:val="00DA0CE3"/>
    <w:rsid w:val="00DF1DA5"/>
    <w:rsid w:val="00E03428"/>
    <w:rsid w:val="00E1404D"/>
    <w:rsid w:val="00E23DA2"/>
    <w:rsid w:val="00E30AA3"/>
    <w:rsid w:val="00E42273"/>
    <w:rsid w:val="00E428F5"/>
    <w:rsid w:val="00E45477"/>
    <w:rsid w:val="00E50A71"/>
    <w:rsid w:val="00E56FAC"/>
    <w:rsid w:val="00E63C5D"/>
    <w:rsid w:val="00E66ACA"/>
    <w:rsid w:val="00E72495"/>
    <w:rsid w:val="00E761DB"/>
    <w:rsid w:val="00EA6BBB"/>
    <w:rsid w:val="00EF30B2"/>
    <w:rsid w:val="00F03F0B"/>
    <w:rsid w:val="00F051ED"/>
    <w:rsid w:val="00F26B17"/>
    <w:rsid w:val="00F544AB"/>
    <w:rsid w:val="00F75845"/>
    <w:rsid w:val="00F80C4F"/>
    <w:rsid w:val="00FA0606"/>
    <w:rsid w:val="00FA44A9"/>
    <w:rsid w:val="00FB2651"/>
    <w:rsid w:val="00FC23DA"/>
    <w:rsid w:val="00FE529A"/>
    <w:rsid w:val="00FE77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4C4CF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D5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6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5834317">
      <w:bodyDiv w:val="1"/>
      <w:marLeft w:val="0"/>
      <w:marRight w:val="0"/>
      <w:marTop w:val="0"/>
      <w:marBottom w:val="0"/>
      <w:divBdr>
        <w:top w:val="none" w:sz="0" w:space="0" w:color="auto"/>
        <w:left w:val="none" w:sz="0" w:space="0" w:color="auto"/>
        <w:bottom w:val="none" w:sz="0" w:space="0" w:color="auto"/>
        <w:right w:val="none" w:sz="0" w:space="0" w:color="auto"/>
      </w:divBdr>
      <w:divsChild>
        <w:div w:id="851381787">
          <w:marLeft w:val="0"/>
          <w:marRight w:val="0"/>
          <w:marTop w:val="0"/>
          <w:marBottom w:val="0"/>
          <w:divBdr>
            <w:top w:val="none" w:sz="0" w:space="0" w:color="auto"/>
            <w:left w:val="none" w:sz="0" w:space="0" w:color="auto"/>
            <w:bottom w:val="none" w:sz="0" w:space="0" w:color="auto"/>
            <w:right w:val="none" w:sz="0" w:space="0" w:color="auto"/>
          </w:divBdr>
        </w:div>
      </w:divsChild>
    </w:div>
    <w:div w:id="1394347649">
      <w:bodyDiv w:val="1"/>
      <w:marLeft w:val="0"/>
      <w:marRight w:val="0"/>
      <w:marTop w:val="0"/>
      <w:marBottom w:val="0"/>
      <w:divBdr>
        <w:top w:val="none" w:sz="0" w:space="0" w:color="auto"/>
        <w:left w:val="none" w:sz="0" w:space="0" w:color="auto"/>
        <w:bottom w:val="none" w:sz="0" w:space="0" w:color="auto"/>
        <w:right w:val="none" w:sz="0" w:space="0" w:color="auto"/>
      </w:divBdr>
      <w:divsChild>
        <w:div w:id="708841792">
          <w:marLeft w:val="0"/>
          <w:marRight w:val="0"/>
          <w:marTop w:val="0"/>
          <w:marBottom w:val="0"/>
          <w:divBdr>
            <w:top w:val="none" w:sz="0" w:space="0" w:color="auto"/>
            <w:left w:val="none" w:sz="0" w:space="0" w:color="auto"/>
            <w:bottom w:val="none" w:sz="0" w:space="0" w:color="auto"/>
            <w:right w:val="none" w:sz="0" w:space="0" w:color="auto"/>
          </w:divBdr>
        </w:div>
      </w:divsChild>
    </w:div>
    <w:div w:id="1459835467">
      <w:bodyDiv w:val="1"/>
      <w:marLeft w:val="0"/>
      <w:marRight w:val="0"/>
      <w:marTop w:val="0"/>
      <w:marBottom w:val="0"/>
      <w:divBdr>
        <w:top w:val="none" w:sz="0" w:space="0" w:color="auto"/>
        <w:left w:val="none" w:sz="0" w:space="0" w:color="auto"/>
        <w:bottom w:val="none" w:sz="0" w:space="0" w:color="auto"/>
        <w:right w:val="none" w:sz="0" w:space="0" w:color="auto"/>
      </w:divBdr>
      <w:divsChild>
        <w:div w:id="1991597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E2E0C-6E61-4093-BEEB-496CF0E0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JAW</dc:creator>
  <cp:lastModifiedBy>martin</cp:lastModifiedBy>
  <cp:revision>8</cp:revision>
  <dcterms:created xsi:type="dcterms:W3CDTF">2019-10-18T17:20:00Z</dcterms:created>
  <dcterms:modified xsi:type="dcterms:W3CDTF">2019-10-18T17:57:00Z</dcterms:modified>
</cp:coreProperties>
</file>